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F8A" w:rsidRDefault="00B30E7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BE7F8A" w:rsidRDefault="00B30E7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BE7F8A" w:rsidRDefault="00B30E7E">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For Lots 1 – 4 of this Framework Contract, a Call-Off Contract must be awarded in accordance with the Further Competition procedure set out in Paragraph 3 below.</w:t>
      </w:r>
    </w:p>
    <w:p w:rsidR="00BE7F8A" w:rsidRPr="00E7785E"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E7785E">
        <w:rPr>
          <w:rFonts w:ascii="Arial" w:eastAsia="Arial" w:hAnsi="Arial" w:cs="Arial"/>
          <w:strike/>
          <w:color w:val="000000"/>
          <w:sz w:val="24"/>
          <w:szCs w:val="24"/>
        </w:rPr>
        <w:t>For Lot 5 of this Framework Contract, a Call-Off Contract must be awarded in accordance with the Direct Award procedure set out in Paragraph 2 below.</w:t>
      </w:r>
      <w:r w:rsidR="00E7785E">
        <w:rPr>
          <w:rFonts w:ascii="Arial" w:eastAsia="Arial" w:hAnsi="Arial" w:cs="Arial"/>
          <w:strike/>
          <w:color w:val="000000"/>
          <w:sz w:val="24"/>
          <w:szCs w:val="24"/>
        </w:rPr>
        <w:t xml:space="preserve"> – LOT REMOVED</w:t>
      </w:r>
    </w:p>
    <w:p w:rsidR="00BE7F8A" w:rsidRDefault="00BE7F8A">
      <w:pPr>
        <w:keepNext/>
        <w:widowControl/>
        <w:pBdr>
          <w:top w:val="nil"/>
          <w:left w:val="nil"/>
          <w:bottom w:val="nil"/>
          <w:right w:val="nil"/>
          <w:between w:val="nil"/>
        </w:pBdr>
        <w:tabs>
          <w:tab w:val="left" w:pos="3054"/>
        </w:tabs>
        <w:spacing w:before="120" w:after="120"/>
        <w:ind w:left="1080"/>
        <w:rPr>
          <w:rFonts w:ascii="Arial" w:eastAsia="Arial" w:hAnsi="Arial" w:cs="Arial"/>
          <w:color w:val="000000"/>
          <w:sz w:val="24"/>
          <w:szCs w:val="24"/>
        </w:rPr>
      </w:pPr>
    </w:p>
    <w:p w:rsidR="00BE7F8A" w:rsidRPr="00E7785E"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strike/>
          <w:color w:val="000000"/>
          <w:sz w:val="24"/>
          <w:szCs w:val="24"/>
        </w:rPr>
      </w:pPr>
      <w:r w:rsidRPr="00E7785E">
        <w:rPr>
          <w:rFonts w:ascii="Arial Bold" w:eastAsia="Arial Bold" w:hAnsi="Arial Bold" w:cs="Arial Bold"/>
          <w:b/>
          <w:strike/>
          <w:color w:val="000000"/>
          <w:sz w:val="24"/>
          <w:szCs w:val="24"/>
        </w:rPr>
        <w:t>How a direct award works</w:t>
      </w:r>
      <w:r w:rsidR="00E7785E">
        <w:rPr>
          <w:rFonts w:ascii="Arial Bold" w:eastAsia="Arial Bold" w:hAnsi="Arial Bold" w:cs="Arial Bold"/>
          <w:b/>
          <w:strike/>
          <w:color w:val="000000"/>
          <w:sz w:val="24"/>
          <w:szCs w:val="24"/>
        </w:rPr>
        <w:t xml:space="preserve"> </w:t>
      </w:r>
      <w:bookmarkStart w:id="3" w:name="_GoBack"/>
      <w:r w:rsidR="00E7785E">
        <w:rPr>
          <w:rFonts w:ascii="Arial Bold" w:eastAsia="Arial Bold" w:hAnsi="Arial Bold" w:cs="Arial Bold"/>
          <w:b/>
          <w:strike/>
          <w:color w:val="000000"/>
          <w:sz w:val="24"/>
          <w:szCs w:val="24"/>
        </w:rPr>
        <w:t>LOT</w:t>
      </w:r>
      <w:bookmarkEnd w:id="3"/>
      <w:r w:rsidR="00E7785E">
        <w:rPr>
          <w:rFonts w:ascii="Arial Bold" w:eastAsia="Arial Bold" w:hAnsi="Arial Bold" w:cs="Arial Bold"/>
          <w:b/>
          <w:strike/>
          <w:color w:val="000000"/>
          <w:sz w:val="24"/>
          <w:szCs w:val="24"/>
        </w:rPr>
        <w:t xml:space="preserve"> 5 REMOVED</w:t>
      </w:r>
    </w:p>
    <w:p w:rsidR="00BE7F8A" w:rsidRPr="00E7785E"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strike/>
          <w:color w:val="000000"/>
          <w:sz w:val="24"/>
          <w:szCs w:val="24"/>
        </w:rPr>
      </w:pPr>
      <w:r w:rsidRPr="00E7785E">
        <w:rPr>
          <w:rFonts w:ascii="Arial" w:eastAsia="Arial" w:hAnsi="Arial" w:cs="Arial"/>
          <w:strike/>
          <w:color w:val="000000"/>
          <w:sz w:val="24"/>
          <w:szCs w:val="24"/>
        </w:rPr>
        <w:t>The Buyer awarding a Call-Off Contract under Lot 5 of this Framework Contract without holding a further competition shall:</w:t>
      </w:r>
    </w:p>
    <w:p w:rsidR="00BE7F8A" w:rsidRPr="00E7785E"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E7785E">
        <w:rPr>
          <w:rFonts w:ascii="Arial" w:eastAsia="Arial" w:hAnsi="Arial" w:cs="Arial"/>
          <w:strike/>
          <w:color w:val="000000"/>
          <w:sz w:val="24"/>
          <w:szCs w:val="24"/>
        </w:rPr>
        <w:t>develop a clear Statement of Requirements;</w:t>
      </w:r>
    </w:p>
    <w:p w:rsidR="00BE7F8A" w:rsidRPr="00E7785E"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E7785E">
        <w:rPr>
          <w:rFonts w:ascii="Arial" w:eastAsia="Arial" w:hAnsi="Arial" w:cs="Arial"/>
          <w:strike/>
          <w:color w:val="000000"/>
          <w:sz w:val="24"/>
          <w:szCs w:val="24"/>
        </w:rPr>
        <w:t>apply the direct award criteria to the description of the Deliverables as set out in Framework Schedule 1 (Specification) and Framework Schedule 2 (Framework Tender); and</w:t>
      </w:r>
    </w:p>
    <w:p w:rsidR="00BE7F8A" w:rsidRPr="00E7785E"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strike/>
          <w:color w:val="000000"/>
          <w:sz w:val="24"/>
          <w:szCs w:val="24"/>
        </w:rPr>
      </w:pPr>
      <w:r w:rsidRPr="00E7785E">
        <w:rPr>
          <w:rFonts w:ascii="Arial" w:eastAsia="Arial" w:hAnsi="Arial" w:cs="Arial"/>
          <w:strike/>
          <w:color w:val="000000"/>
          <w:sz w:val="24"/>
          <w:szCs w:val="24"/>
        </w:rPr>
        <w:t>on the basis set out above, award the Call-Off Contract with the Supplier in accordance with Paragraph 6 below.</w:t>
      </w:r>
    </w:p>
    <w:p w:rsidR="00BE7F8A" w:rsidRDefault="00BE7F8A">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BE7F8A" w:rsidRDefault="00B30E7E">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Lots 1-4 of this Framework Contract through a Further Competition Procedure shall:</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invite tenders by conducting a Further Competition Procedure for its Deliverables in accordance with the Regulations and in particular: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BE7F8A" w:rsidRDefault="00B30E7E">
      <w:pPr>
        <w:keepNext/>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 submit tenders; and</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BE7F8A" w:rsidRDefault="00B30E7E">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BE7F8A" w:rsidRDefault="00BE7F8A">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statement to the effect that it does not wish to tender in relation to the Deliverables; or</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any discount to which the Buyer may be entitled as set out in Framework Schedule 3 (Framework Prices).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accordance with any agreement or arrangement with any other person. The Supplier certifies that it has not and undertakes that it will not:</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enter into any arrangement or agreement with any other person that he or the other person(s) shall refrain </w:t>
      </w:r>
      <w:r>
        <w:rPr>
          <w:rFonts w:ascii="Arial" w:eastAsia="Arial" w:hAnsi="Arial" w:cs="Arial"/>
          <w:color w:val="000000"/>
          <w:sz w:val="24"/>
          <w:szCs w:val="24"/>
        </w:rPr>
        <w:lastRenderedPageBreak/>
        <w:t>from submitting a tender or as to the amount of any tenders to be submitted.</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On receipt of an order form as described in Paragraph 6.1 from a Buyer the Supplier shall accept the Call-Off Contract by signing and returning (including by electronic means) a copy of the order form to the Buyer concerned within 10 Working Days.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t>[</w:t>
      </w:r>
      <w:r>
        <w:rPr>
          <w:rFonts w:ascii="Arial Bold" w:eastAsia="Arial Bold" w:hAnsi="Arial Bold" w:cs="Arial Bold"/>
          <w:b/>
          <w:color w:val="000000"/>
          <w:sz w:val="24"/>
          <w:szCs w:val="24"/>
          <w:highlight w:val="yellow"/>
        </w:rPr>
        <w:t>Guidance:</w:t>
      </w:r>
      <w:r>
        <w:rPr>
          <w:rFonts w:ascii="Arial Bold" w:eastAsia="Arial Bold" w:hAnsi="Arial Bold" w:cs="Arial Bold"/>
          <w:b/>
          <w:color w:val="000000"/>
          <w:sz w:val="24"/>
          <w:szCs w:val="24"/>
        </w:rPr>
        <w:t xml:space="preserve"> </w:t>
      </w:r>
      <w:r>
        <w:rPr>
          <w:rFonts w:ascii="Arial" w:eastAsia="Arial" w:hAnsi="Arial" w:cs="Arial"/>
          <w:color w:val="000000"/>
          <w:sz w:val="24"/>
          <w:szCs w:val="24"/>
        </w:rPr>
        <w:t xml:space="preserve">Include this Paragraph if the buyer has the option of using a reverse auction at call-off. </w:t>
      </w:r>
    </w:p>
    <w:p w:rsidR="00BE7F8A" w:rsidRDefault="00B30E7E">
      <w:pPr>
        <w:keepNext/>
        <w:widowControl/>
        <w:pBdr>
          <w:top w:val="nil"/>
          <w:left w:val="nil"/>
          <w:bottom w:val="nil"/>
          <w:right w:val="nil"/>
          <w:between w:val="nil"/>
        </w:pBdr>
        <w:tabs>
          <w:tab w:val="left" w:pos="142"/>
        </w:tabs>
        <w:spacing w:before="120" w:after="240"/>
        <w:ind w:left="36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lastRenderedPageBreak/>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its access to the Electronic Reverse Auction may occasionally be restricted to allow for repairs or maintenance; and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BE7F8A" w:rsidRDefault="00B30E7E">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w:t>
      </w:r>
      <w:r>
        <w:rPr>
          <w:rFonts w:ascii="Arial" w:eastAsia="Arial" w:hAnsi="Arial" w:cs="Arial"/>
          <w:color w:val="000000"/>
          <w:sz w:val="24"/>
          <w:szCs w:val="24"/>
        </w:rPr>
        <w:lastRenderedPageBreak/>
        <w:t>Procedure in accordance with any legal requirements applicable to the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rsidR="00BE7F8A" w:rsidRDefault="00B30E7E">
      <w:pPr>
        <w:rPr>
          <w:rFonts w:ascii="Arial" w:eastAsia="Arial" w:hAnsi="Arial" w:cs="Arial"/>
          <w:sz w:val="24"/>
          <w:szCs w:val="24"/>
        </w:rPr>
      </w:pPr>
      <w:r>
        <w:br w:type="page"/>
      </w:r>
    </w:p>
    <w:p w:rsidR="00BE7F8A" w:rsidRDefault="00BE7F8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BE7F8A" w:rsidRDefault="00B30E7E">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BE7F8A" w:rsidRDefault="00B30E7E">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BE7F8A" w:rsidRDefault="00B30E7E">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BE7F8A" w:rsidRDefault="00B30E7E">
      <w:pPr>
        <w:rPr>
          <w:rFonts w:ascii="Arial" w:eastAsia="Arial" w:hAnsi="Arial" w:cs="Arial"/>
          <w:b/>
          <w:smallCaps/>
          <w:sz w:val="24"/>
          <w:szCs w:val="24"/>
        </w:rPr>
      </w:pPr>
      <w:r>
        <w:br w:type="page"/>
      </w:r>
    </w:p>
    <w:p w:rsidR="00BE7F8A" w:rsidRDefault="00B30E7E">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BE7F8A" w:rsidRDefault="00B30E7E">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3"/>
        <w:tblW w:w="921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BE7F8A">
        <w:tc>
          <w:tcPr>
            <w:tcW w:w="3544" w:type="dxa"/>
            <w:shd w:val="clear" w:color="auto" w:fill="E7E6E6"/>
          </w:tcPr>
          <w:p w:rsidR="00BE7F8A" w:rsidRDefault="00B30E7E">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BE7F8A" w:rsidRDefault="00B30E7E">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BE7F8A" w:rsidRDefault="00B30E7E">
            <w:pPr>
              <w:widowControl/>
              <w:spacing w:after="200" w:line="276" w:lineRule="auto"/>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BE7F8A">
        <w:tc>
          <w:tcPr>
            <w:tcW w:w="3544"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Quality</w:t>
            </w:r>
          </w:p>
        </w:tc>
        <w:tc>
          <w:tcPr>
            <w:tcW w:w="5670"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60 </w:t>
            </w:r>
          </w:p>
        </w:tc>
      </w:tr>
      <w:tr w:rsidR="00BE7F8A">
        <w:tc>
          <w:tcPr>
            <w:tcW w:w="3544" w:type="dxa"/>
          </w:tcPr>
          <w:p w:rsidR="00BE7F8A" w:rsidRDefault="00B30E7E">
            <w:pPr>
              <w:keepNext/>
              <w:widowControl/>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Price</w:t>
            </w:r>
          </w:p>
        </w:tc>
        <w:tc>
          <w:tcPr>
            <w:tcW w:w="5670"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40</w:t>
            </w:r>
          </w:p>
        </w:tc>
      </w:tr>
    </w:tbl>
    <w:p w:rsidR="00BE7F8A" w:rsidRDefault="00BE7F8A">
      <w:pPr>
        <w:widowControl/>
        <w:pBdr>
          <w:top w:val="nil"/>
          <w:left w:val="nil"/>
          <w:bottom w:val="nil"/>
          <w:right w:val="nil"/>
          <w:between w:val="nil"/>
        </w:pBdr>
        <w:ind w:left="1080"/>
        <w:jc w:val="both"/>
        <w:rPr>
          <w:rFonts w:ascii="Arial" w:eastAsia="Arial" w:hAnsi="Arial" w:cs="Arial"/>
          <w:color w:val="FFFFFF"/>
          <w:sz w:val="24"/>
          <w:szCs w:val="24"/>
        </w:rPr>
      </w:pPr>
    </w:p>
    <w:p w:rsidR="00BE7F8A" w:rsidRDefault="00B30E7E">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BE7F8A" w:rsidRDefault="00B30E7E">
      <w:pPr>
        <w:widowControl/>
        <w:tabs>
          <w:tab w:val="left" w:pos="851"/>
        </w:tabs>
        <w:spacing w:after="240"/>
        <w:jc w:val="both"/>
        <w:rPr>
          <w:rFonts w:ascii="Arial" w:eastAsia="Arial" w:hAnsi="Arial" w:cs="Arial"/>
          <w:sz w:val="24"/>
          <w:szCs w:val="24"/>
        </w:rPr>
      </w:pPr>
      <w:r>
        <w:rPr>
          <w:rFonts w:ascii="Arial" w:eastAsia="Arial" w:hAnsi="Arial" w:cs="Arial"/>
          <w:sz w:val="24"/>
          <w:szCs w:val="24"/>
        </w:rPr>
        <w:t>The following criteria and weightings shall apply to the evaluation of tenders received through the Further Competition Procedure:</w:t>
      </w:r>
    </w:p>
    <w:p w:rsidR="00BE7F8A" w:rsidRDefault="00BE7F8A">
      <w:pPr>
        <w:widowControl/>
        <w:tabs>
          <w:tab w:val="left" w:pos="851"/>
        </w:tabs>
        <w:spacing w:after="240"/>
        <w:jc w:val="both"/>
        <w:rPr>
          <w:rFonts w:ascii="Arial" w:eastAsia="Arial" w:hAnsi="Arial" w:cs="Arial"/>
          <w:sz w:val="24"/>
          <w:szCs w:val="24"/>
        </w:rPr>
      </w:pPr>
    </w:p>
    <w:tbl>
      <w:tblPr>
        <w:tblStyle w:val="a4"/>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E7F8A">
        <w:tc>
          <w:tcPr>
            <w:tcW w:w="4508" w:type="dxa"/>
            <w:shd w:val="clear" w:color="auto" w:fill="E7E6E6"/>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b/>
                <w:sz w:val="24"/>
                <w:szCs w:val="24"/>
              </w:rPr>
              <w:t>Criteria</w:t>
            </w:r>
          </w:p>
        </w:tc>
        <w:tc>
          <w:tcPr>
            <w:tcW w:w="4508" w:type="dxa"/>
            <w:shd w:val="clear" w:color="auto" w:fill="E7E6E6"/>
          </w:tcPr>
          <w:p w:rsidR="00BE7F8A" w:rsidRDefault="00B30E7E">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BE7F8A" w:rsidRDefault="00BE7F8A">
            <w:pPr>
              <w:widowControl/>
              <w:spacing w:before="120" w:after="200" w:line="276" w:lineRule="auto"/>
              <w:rPr>
                <w:rFonts w:ascii="Arial" w:eastAsia="Arial" w:hAnsi="Arial" w:cs="Arial"/>
                <w:b/>
                <w:sz w:val="24"/>
                <w:szCs w:val="24"/>
              </w:rPr>
            </w:pPr>
          </w:p>
        </w:tc>
      </w:tr>
      <w:tr w:rsidR="00BE7F8A">
        <w:tc>
          <w:tcPr>
            <w:tcW w:w="4508" w:type="dxa"/>
          </w:tcPr>
          <w:p w:rsidR="00BE7F8A" w:rsidRDefault="00B30E7E">
            <w:pPr>
              <w:keepNext/>
              <w:widowControl/>
              <w:spacing w:before="120" w:after="120"/>
              <w:ind w:left="142"/>
              <w:jc w:val="both"/>
              <w:rPr>
                <w:rFonts w:ascii="Arial" w:eastAsia="Arial" w:hAnsi="Arial" w:cs="Arial"/>
                <w:sz w:val="24"/>
                <w:szCs w:val="24"/>
              </w:rPr>
            </w:pPr>
            <w:r>
              <w:rPr>
                <w:rFonts w:ascii="Arial" w:eastAsia="Arial" w:hAnsi="Arial" w:cs="Arial"/>
                <w:sz w:val="24"/>
                <w:szCs w:val="24"/>
              </w:rPr>
              <w:t>Quality:</w:t>
            </w:r>
          </w:p>
          <w:p w:rsidR="00BE7F8A" w:rsidRDefault="00B30E7E">
            <w:pPr>
              <w:keepNext/>
              <w:widowControl/>
              <w:spacing w:before="120" w:after="120"/>
              <w:jc w:val="both"/>
              <w:rPr>
                <w:rFonts w:ascii="Arial" w:eastAsia="Arial" w:hAnsi="Arial" w:cs="Arial"/>
                <w:sz w:val="24"/>
                <w:szCs w:val="24"/>
              </w:rPr>
            </w:pPr>
            <w:r>
              <w:rPr>
                <w:rFonts w:ascii="Arial" w:eastAsia="Arial" w:hAnsi="Arial" w:cs="Arial"/>
                <w:sz w:val="24"/>
                <w:szCs w:val="24"/>
              </w:rPr>
              <w:t>Which can include, but is not limited to:</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Added Value / Innovation</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Social Value</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 xml:space="preserve">Approach </w:t>
            </w:r>
            <w:proofErr w:type="gramStart"/>
            <w:r>
              <w:rPr>
                <w:rFonts w:ascii="Arial" w:eastAsia="Arial" w:hAnsi="Arial" w:cs="Arial"/>
                <w:sz w:val="24"/>
                <w:szCs w:val="24"/>
              </w:rPr>
              <w:t>To</w:t>
            </w:r>
            <w:proofErr w:type="gramEnd"/>
            <w:r>
              <w:rPr>
                <w:rFonts w:ascii="Arial" w:eastAsia="Arial" w:hAnsi="Arial" w:cs="Arial"/>
                <w:sz w:val="24"/>
                <w:szCs w:val="24"/>
              </w:rPr>
              <w:t xml:space="preserve"> Delivery Of The Services</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Delivery date and implementation period</w:t>
            </w:r>
          </w:p>
        </w:tc>
        <w:tc>
          <w:tcPr>
            <w:tcW w:w="4508" w:type="dxa"/>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30%</w:t>
            </w:r>
          </w:p>
        </w:tc>
      </w:tr>
      <w:tr w:rsidR="00BE7F8A">
        <w:tc>
          <w:tcPr>
            <w:tcW w:w="4508" w:type="dxa"/>
          </w:tcPr>
          <w:p w:rsidR="00BE7F8A" w:rsidRDefault="00B30E7E">
            <w:pPr>
              <w:keepNext/>
              <w:widowControl/>
              <w:spacing w:before="120" w:after="120"/>
              <w:ind w:left="142"/>
              <w:jc w:val="both"/>
              <w:rPr>
                <w:rFonts w:ascii="Arial" w:eastAsia="Arial" w:hAnsi="Arial" w:cs="Arial"/>
                <w:sz w:val="24"/>
                <w:szCs w:val="24"/>
              </w:rPr>
            </w:pPr>
            <w:r>
              <w:rPr>
                <w:rFonts w:ascii="Arial" w:eastAsia="Arial" w:hAnsi="Arial" w:cs="Arial"/>
                <w:sz w:val="24"/>
                <w:szCs w:val="24"/>
              </w:rPr>
              <w:t>Price</w:t>
            </w:r>
          </w:p>
        </w:tc>
        <w:tc>
          <w:tcPr>
            <w:tcW w:w="4508" w:type="dxa"/>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70%</w:t>
            </w:r>
          </w:p>
        </w:tc>
      </w:tr>
    </w:tbl>
    <w:p w:rsidR="00BE7F8A" w:rsidRDefault="00BE7F8A">
      <w:pPr>
        <w:widowControl/>
        <w:jc w:val="both"/>
        <w:rPr>
          <w:rFonts w:ascii="Arial" w:eastAsia="Arial" w:hAnsi="Arial" w:cs="Arial"/>
          <w:sz w:val="24"/>
          <w:szCs w:val="24"/>
        </w:rPr>
      </w:pPr>
    </w:p>
    <w:p w:rsidR="00BE7F8A" w:rsidRDefault="00BE7F8A">
      <w:pPr>
        <w:widowControl/>
        <w:jc w:val="both"/>
        <w:rPr>
          <w:rFonts w:ascii="Arial" w:eastAsia="Arial" w:hAnsi="Arial" w:cs="Arial"/>
          <w:sz w:val="24"/>
          <w:szCs w:val="24"/>
        </w:rPr>
      </w:pPr>
    </w:p>
    <w:p w:rsidR="00BE7F8A" w:rsidRDefault="00B30E7E">
      <w:pPr>
        <w:widowControl/>
        <w:jc w:val="both"/>
        <w:rPr>
          <w:rFonts w:ascii="Arial" w:eastAsia="Arial" w:hAnsi="Arial" w:cs="Arial"/>
          <w:sz w:val="24"/>
          <w:szCs w:val="24"/>
        </w:rPr>
      </w:pPr>
      <w:r>
        <w:rPr>
          <w:rFonts w:ascii="Arial" w:eastAsia="Arial" w:hAnsi="Arial" w:cs="Arial"/>
          <w:sz w:val="24"/>
          <w:szCs w:val="24"/>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Pr>
          <w:rFonts w:ascii="Arial" w:eastAsia="Arial" w:hAnsi="Arial" w:cs="Arial"/>
          <w:sz w:val="24"/>
          <w:szCs w:val="24"/>
        </w:rPr>
        <w:t>high quality</w:t>
      </w:r>
      <w:proofErr w:type="gramEnd"/>
      <w:r>
        <w:rPr>
          <w:rFonts w:ascii="Arial" w:eastAsia="Arial" w:hAnsi="Arial" w:cs="Arial"/>
          <w:sz w:val="24"/>
          <w:szCs w:val="24"/>
        </w:rPr>
        <w:t xml:space="preserve"> rating, for newer or consultative services.</w:t>
      </w:r>
    </w:p>
    <w:p w:rsidR="00BE7F8A" w:rsidRDefault="00BE7F8A">
      <w:pPr>
        <w:widowControl/>
        <w:jc w:val="both"/>
        <w:rPr>
          <w:rFonts w:ascii="Arial" w:eastAsia="Arial" w:hAnsi="Arial" w:cs="Arial"/>
          <w:sz w:val="24"/>
          <w:szCs w:val="24"/>
        </w:rPr>
      </w:pPr>
    </w:p>
    <w:p w:rsidR="00BE7F8A" w:rsidRDefault="00B30E7E">
      <w:pPr>
        <w:widowControl/>
        <w:jc w:val="both"/>
        <w:rPr>
          <w:rFonts w:ascii="Arial" w:eastAsia="Arial" w:hAnsi="Arial" w:cs="Arial"/>
          <w:sz w:val="24"/>
          <w:szCs w:val="24"/>
        </w:rPr>
      </w:pPr>
      <w:r>
        <w:rPr>
          <w:rFonts w:ascii="Arial" w:eastAsia="Arial" w:hAnsi="Arial" w:cs="Arial"/>
          <w:sz w:val="24"/>
          <w:szCs w:val="24"/>
        </w:rPr>
        <w:t>At call off the Buyer and the Authority will be given complete flexibility to evaluate 100% on price. The Buyer and the Authority may use Pass/Fail questions to measure quality at call off stage.</w:t>
      </w:r>
    </w:p>
    <w:p w:rsidR="00BE7F8A" w:rsidRDefault="00BE7F8A">
      <w:pPr>
        <w:widowControl/>
        <w:tabs>
          <w:tab w:val="left" w:pos="851"/>
        </w:tabs>
        <w:spacing w:after="240"/>
        <w:jc w:val="both"/>
        <w:rPr>
          <w:rFonts w:ascii="Arial" w:eastAsia="Arial" w:hAnsi="Arial" w:cs="Arial"/>
          <w:sz w:val="24"/>
          <w:szCs w:val="24"/>
        </w:rPr>
      </w:pPr>
    </w:p>
    <w:p w:rsidR="00BE7F8A" w:rsidRDefault="00BE7F8A">
      <w:pPr>
        <w:widowControl/>
        <w:pBdr>
          <w:top w:val="nil"/>
          <w:left w:val="nil"/>
          <w:bottom w:val="nil"/>
          <w:right w:val="nil"/>
          <w:between w:val="nil"/>
        </w:pBdr>
        <w:tabs>
          <w:tab w:val="left" w:pos="851"/>
        </w:tabs>
        <w:spacing w:after="240"/>
        <w:jc w:val="both"/>
        <w:rPr>
          <w:rFonts w:ascii="Arial" w:eastAsia="Arial" w:hAnsi="Arial" w:cs="Arial"/>
          <w:sz w:val="24"/>
          <w:szCs w:val="24"/>
        </w:rPr>
        <w:sectPr w:rsidR="00BE7F8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BE7F8A" w:rsidRDefault="00BE7F8A">
      <w:pPr>
        <w:widowControl/>
        <w:pBdr>
          <w:top w:val="nil"/>
          <w:left w:val="nil"/>
          <w:bottom w:val="nil"/>
          <w:right w:val="nil"/>
          <w:between w:val="nil"/>
        </w:pBdr>
        <w:jc w:val="both"/>
        <w:rPr>
          <w:rFonts w:ascii="Arial" w:eastAsia="Arial" w:hAnsi="Arial" w:cs="Arial"/>
          <w:color w:val="FFFFFF"/>
          <w:sz w:val="24"/>
          <w:szCs w:val="24"/>
        </w:rPr>
      </w:pPr>
    </w:p>
    <w:sectPr w:rsidR="00BE7F8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E2F" w:rsidRDefault="00F30E2F">
      <w:r>
        <w:separator/>
      </w:r>
    </w:p>
  </w:endnote>
  <w:endnote w:type="continuationSeparator" w:id="0">
    <w:p w:rsidR="00F30E2F" w:rsidRDefault="00F3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BE7F8A" w:rsidRDefault="00B30E7E">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96F9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E7F8A" w:rsidRDefault="00B30E7E">
    <w:pPr>
      <w:tabs>
        <w:tab w:val="left" w:pos="720"/>
        <w:tab w:val="left" w:pos="1440"/>
        <w:tab w:val="left" w:pos="2160"/>
        <w:tab w:val="left" w:pos="2880"/>
        <w:tab w:val="left" w:pos="3600"/>
        <w:tab w:val="center" w:pos="4513"/>
      </w:tabs>
      <w:rPr>
        <w:rFonts w:ascii="Arial" w:eastAsia="Arial" w:hAnsi="Arial" w:cs="Arial"/>
        <w:sz w:val="20"/>
        <w:szCs w:val="20"/>
      </w:rPr>
    </w:pPr>
    <w:bookmarkStart w:id="13" w:name="_heading=h.gjdgxs" w:colFirst="0" w:colLast="0"/>
    <w:bookmarkEnd w:id="13"/>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BE7F8A" w:rsidRDefault="00B30E7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E2F" w:rsidRDefault="00F30E2F">
      <w:r>
        <w:separator/>
      </w:r>
    </w:p>
  </w:footnote>
  <w:footnote w:type="continuationSeparator" w:id="0">
    <w:p w:rsidR="00F30E2F" w:rsidRDefault="00F3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BE7F8A" w:rsidRDefault="00BE7F8A">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7AF"/>
    <w:multiLevelType w:val="multilevel"/>
    <w:tmpl w:val="B254B59C"/>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6950F5"/>
    <w:multiLevelType w:val="multilevel"/>
    <w:tmpl w:val="1CEE18C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61A2756"/>
    <w:multiLevelType w:val="multilevel"/>
    <w:tmpl w:val="7038B70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1F571691"/>
    <w:multiLevelType w:val="multilevel"/>
    <w:tmpl w:val="FEEAF9DA"/>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659B2720"/>
    <w:multiLevelType w:val="multilevel"/>
    <w:tmpl w:val="7932F88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F8A"/>
    <w:rsid w:val="00796F90"/>
    <w:rsid w:val="00B30E7E"/>
    <w:rsid w:val="00BE7F8A"/>
    <w:rsid w:val="00E7785E"/>
    <w:rsid w:val="00F30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4454C"/>
  <w15:docId w15:val="{B005DB61-C0EE-4A64-AA5E-C490D176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ktQOonOYm5p2D4v/SYBdWcq74Q==">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2219</Words>
  <Characters>12654</Characters>
  <Application>Microsoft Office Word</Application>
  <DocSecurity>0</DocSecurity>
  <Lines>105</Lines>
  <Paragraphs>29</Paragraphs>
  <ScaleCrop>false</ScaleCrop>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2024-03-05T14:20:00Z</dcterms:created>
  <dcterms:modified xsi:type="dcterms:W3CDTF">2025-04-10T14:43:00Z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